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23" w:rsidRPr="00991E9B" w:rsidRDefault="00545EB6" w:rsidP="00080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1FC0">
        <w:rPr>
          <w:rFonts w:ascii="Times New Roman" w:hAnsi="Times New Roman"/>
          <w:b/>
          <w:sz w:val="28"/>
          <w:szCs w:val="28"/>
        </w:rPr>
        <w:t>Параметры районного бюджета</w:t>
      </w:r>
      <w:r w:rsidR="00041FC0" w:rsidRPr="00041FC0">
        <w:rPr>
          <w:rFonts w:ascii="Times New Roman" w:hAnsi="Times New Roman"/>
          <w:b/>
          <w:sz w:val="28"/>
          <w:szCs w:val="28"/>
        </w:rPr>
        <w:t xml:space="preserve"> (млн</w:t>
      </w:r>
      <w:r w:rsidRPr="00041FC0">
        <w:rPr>
          <w:rFonts w:ascii="Times New Roman" w:hAnsi="Times New Roman"/>
          <w:b/>
          <w:sz w:val="28"/>
          <w:szCs w:val="28"/>
        </w:rPr>
        <w:t>.</w:t>
      </w:r>
      <w:r w:rsidR="00041FC0">
        <w:rPr>
          <w:rFonts w:ascii="Times New Roman" w:hAnsi="Times New Roman"/>
          <w:b/>
          <w:sz w:val="28"/>
          <w:szCs w:val="28"/>
        </w:rPr>
        <w:t xml:space="preserve"> </w:t>
      </w:r>
      <w:r w:rsidRPr="00041FC0">
        <w:rPr>
          <w:rFonts w:ascii="Times New Roman" w:hAnsi="Times New Roman"/>
          <w:b/>
          <w:sz w:val="28"/>
          <w:szCs w:val="28"/>
        </w:rPr>
        <w:t>руб</w:t>
      </w:r>
      <w:r w:rsidR="00041FC0" w:rsidRPr="00041FC0">
        <w:rPr>
          <w:rFonts w:ascii="Times New Roman" w:hAnsi="Times New Roman"/>
          <w:b/>
          <w:sz w:val="28"/>
          <w:szCs w:val="28"/>
        </w:rPr>
        <w:t>лей</w:t>
      </w:r>
      <w:r w:rsidRPr="00041FC0">
        <w:rPr>
          <w:rFonts w:ascii="Times New Roman" w:hAnsi="Times New Roman"/>
          <w:b/>
          <w:sz w:val="28"/>
          <w:szCs w:val="28"/>
        </w:rPr>
        <w:t>)</w:t>
      </w:r>
    </w:p>
    <w:p w:rsidR="00EF51BA" w:rsidRPr="00991E9B" w:rsidRDefault="00EF51BA" w:rsidP="00080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F9C" w:rsidRDefault="000D2D80" w:rsidP="0008082C">
      <w:pPr>
        <w:tabs>
          <w:tab w:val="left" w:pos="2246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27801" cy="3204057"/>
            <wp:effectExtent l="0" t="0" r="2540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B3F9C" w:rsidRDefault="001B3F9C" w:rsidP="0008082C">
      <w:pPr>
        <w:tabs>
          <w:tab w:val="left" w:pos="2246"/>
        </w:tabs>
        <w:spacing w:after="0"/>
        <w:jc w:val="center"/>
        <w:rPr>
          <w:rFonts w:ascii="Times New Roman" w:hAnsi="Times New Roman" w:cs="Times New Roman"/>
        </w:rPr>
      </w:pPr>
    </w:p>
    <w:p w:rsidR="0008082C" w:rsidRPr="00EE5F8F" w:rsidRDefault="0008082C" w:rsidP="0008082C">
      <w:pPr>
        <w:tabs>
          <w:tab w:val="left" w:pos="22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F8F">
        <w:rPr>
          <w:rFonts w:ascii="Times New Roman" w:hAnsi="Times New Roman" w:cs="Times New Roman"/>
          <w:sz w:val="24"/>
          <w:szCs w:val="24"/>
        </w:rPr>
        <w:t xml:space="preserve">Структура основных видов </w:t>
      </w:r>
      <w:r w:rsidRPr="00EE5F8F">
        <w:rPr>
          <w:rFonts w:ascii="Times New Roman" w:hAnsi="Times New Roman" w:cs="Times New Roman"/>
          <w:b/>
          <w:sz w:val="24"/>
          <w:szCs w:val="24"/>
        </w:rPr>
        <w:t>налоговых</w:t>
      </w:r>
      <w:r w:rsidRPr="00EE5F8F">
        <w:rPr>
          <w:rFonts w:ascii="Times New Roman" w:hAnsi="Times New Roman" w:cs="Times New Roman"/>
          <w:sz w:val="24"/>
          <w:szCs w:val="24"/>
        </w:rPr>
        <w:t xml:space="preserve"> доходов </w:t>
      </w:r>
    </w:p>
    <w:p w:rsidR="00D23ABF" w:rsidRPr="00EE5F8F" w:rsidRDefault="00962DBF" w:rsidP="0008082C">
      <w:pPr>
        <w:tabs>
          <w:tab w:val="left" w:pos="22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F8F">
        <w:rPr>
          <w:rFonts w:ascii="Times New Roman" w:hAnsi="Times New Roman" w:cs="Times New Roman"/>
          <w:sz w:val="24"/>
          <w:szCs w:val="24"/>
        </w:rPr>
        <w:t xml:space="preserve">бюджета в </w:t>
      </w:r>
      <w:r w:rsidRPr="00EE5F8F">
        <w:rPr>
          <w:rFonts w:ascii="Times New Roman" w:hAnsi="Times New Roman" w:cs="Times New Roman"/>
          <w:b/>
          <w:sz w:val="24"/>
          <w:szCs w:val="24"/>
        </w:rPr>
        <w:t>20</w:t>
      </w:r>
      <w:r w:rsidR="00EE0CB6">
        <w:rPr>
          <w:rFonts w:ascii="Times New Roman" w:hAnsi="Times New Roman" w:cs="Times New Roman"/>
          <w:b/>
          <w:sz w:val="24"/>
          <w:szCs w:val="24"/>
        </w:rPr>
        <w:t>2</w:t>
      </w:r>
      <w:r w:rsidR="005F0CD4">
        <w:rPr>
          <w:rFonts w:ascii="Times New Roman" w:hAnsi="Times New Roman" w:cs="Times New Roman"/>
          <w:b/>
          <w:sz w:val="24"/>
          <w:szCs w:val="24"/>
        </w:rPr>
        <w:t>5</w:t>
      </w:r>
      <w:r w:rsidR="0008082C" w:rsidRPr="00EE5F8F">
        <w:rPr>
          <w:rFonts w:ascii="Times New Roman" w:hAnsi="Times New Roman" w:cs="Times New Roman"/>
          <w:sz w:val="24"/>
          <w:szCs w:val="24"/>
        </w:rPr>
        <w:t xml:space="preserve"> году</w:t>
      </w:r>
      <w:r w:rsidR="009A2241" w:rsidRPr="00EE5F8F">
        <w:rPr>
          <w:rFonts w:ascii="Times New Roman" w:hAnsi="Times New Roman" w:cs="Times New Roman"/>
          <w:sz w:val="24"/>
          <w:szCs w:val="24"/>
        </w:rPr>
        <w:t xml:space="preserve"> (тыс.руб.)</w:t>
      </w:r>
    </w:p>
    <w:p w:rsidR="0008082C" w:rsidRDefault="00AC52BE" w:rsidP="00AC52BE">
      <w:pPr>
        <w:tabs>
          <w:tab w:val="left" w:pos="22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C52B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00864E" wp14:editId="622D4A9B">
            <wp:extent cx="5720487" cy="3672231"/>
            <wp:effectExtent l="0" t="0" r="13970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95C" w:rsidRDefault="0002595C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548" w:rsidRDefault="00725548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1BA" w:rsidRDefault="00EF51BA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51BA" w:rsidRDefault="00EF51BA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51BA" w:rsidRDefault="00EF51BA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51BA" w:rsidRDefault="00EF51BA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5F8F" w:rsidRPr="00EE5F8F" w:rsidRDefault="00EE5F8F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F8F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основных видов </w:t>
      </w:r>
      <w:r w:rsidRPr="00EE5F8F">
        <w:rPr>
          <w:rFonts w:ascii="Times New Roman" w:hAnsi="Times New Roman" w:cs="Times New Roman"/>
          <w:b/>
          <w:sz w:val="24"/>
          <w:szCs w:val="24"/>
        </w:rPr>
        <w:t>неналоговых</w:t>
      </w:r>
      <w:r w:rsidRPr="00EE5F8F">
        <w:rPr>
          <w:rFonts w:ascii="Times New Roman" w:hAnsi="Times New Roman" w:cs="Times New Roman"/>
          <w:sz w:val="24"/>
          <w:szCs w:val="24"/>
        </w:rPr>
        <w:t xml:space="preserve"> доходов </w:t>
      </w:r>
    </w:p>
    <w:p w:rsidR="00EE5F8F" w:rsidRPr="00EE5F8F" w:rsidRDefault="00EE5F8F" w:rsidP="00EE5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F8F">
        <w:rPr>
          <w:rFonts w:ascii="Times New Roman" w:hAnsi="Times New Roman" w:cs="Times New Roman"/>
          <w:sz w:val="24"/>
          <w:szCs w:val="24"/>
        </w:rPr>
        <w:t xml:space="preserve">бюджета в </w:t>
      </w:r>
      <w:r w:rsidRPr="00EE5F8F">
        <w:rPr>
          <w:rFonts w:ascii="Times New Roman" w:hAnsi="Times New Roman" w:cs="Times New Roman"/>
          <w:b/>
          <w:sz w:val="24"/>
          <w:szCs w:val="24"/>
        </w:rPr>
        <w:t>20</w:t>
      </w:r>
      <w:r w:rsidR="00D46E71">
        <w:rPr>
          <w:rFonts w:ascii="Times New Roman" w:hAnsi="Times New Roman" w:cs="Times New Roman"/>
          <w:b/>
          <w:sz w:val="24"/>
          <w:szCs w:val="24"/>
        </w:rPr>
        <w:t>2</w:t>
      </w:r>
      <w:r w:rsidR="005F0CD4">
        <w:rPr>
          <w:rFonts w:ascii="Times New Roman" w:hAnsi="Times New Roman" w:cs="Times New Roman"/>
          <w:b/>
          <w:sz w:val="24"/>
          <w:szCs w:val="24"/>
        </w:rPr>
        <w:t>5</w:t>
      </w:r>
      <w:r w:rsidRPr="00EE5F8F">
        <w:rPr>
          <w:rFonts w:ascii="Times New Roman" w:hAnsi="Times New Roman" w:cs="Times New Roman"/>
          <w:sz w:val="24"/>
          <w:szCs w:val="24"/>
        </w:rPr>
        <w:t xml:space="preserve"> году (тыс.руб.)</w:t>
      </w:r>
    </w:p>
    <w:p w:rsidR="00EE5F8F" w:rsidRDefault="00EE5F8F" w:rsidP="0008082C">
      <w:pPr>
        <w:jc w:val="center"/>
        <w:rPr>
          <w:rFonts w:ascii="Times New Roman" w:hAnsi="Times New Roman" w:cs="Times New Roman"/>
        </w:rPr>
      </w:pPr>
      <w:r w:rsidRPr="00EE5F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7F0DB1" wp14:editId="393CF95F">
            <wp:extent cx="5940425" cy="3644327"/>
            <wp:effectExtent l="0" t="0" r="2222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2635" w:rsidRDefault="00A32635" w:rsidP="00080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2C" w:rsidRPr="009E440F" w:rsidRDefault="0008082C" w:rsidP="00080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40F">
        <w:rPr>
          <w:rFonts w:ascii="Times New Roman" w:hAnsi="Times New Roman" w:cs="Times New Roman"/>
          <w:b/>
          <w:sz w:val="24"/>
          <w:szCs w:val="24"/>
        </w:rPr>
        <w:t>С</w:t>
      </w:r>
      <w:r w:rsidR="00962DBF" w:rsidRPr="009E440F">
        <w:rPr>
          <w:rFonts w:ascii="Times New Roman" w:hAnsi="Times New Roman" w:cs="Times New Roman"/>
          <w:b/>
          <w:sz w:val="24"/>
          <w:szCs w:val="24"/>
        </w:rPr>
        <w:t>труктура расходов бюджета в 20</w:t>
      </w:r>
      <w:r w:rsidR="00E455D1">
        <w:rPr>
          <w:rFonts w:ascii="Times New Roman" w:hAnsi="Times New Roman" w:cs="Times New Roman"/>
          <w:b/>
          <w:sz w:val="24"/>
          <w:szCs w:val="24"/>
        </w:rPr>
        <w:t>2</w:t>
      </w:r>
      <w:r w:rsidR="005F0CD4">
        <w:rPr>
          <w:rFonts w:ascii="Times New Roman" w:hAnsi="Times New Roman" w:cs="Times New Roman"/>
          <w:b/>
          <w:sz w:val="24"/>
          <w:szCs w:val="24"/>
        </w:rPr>
        <w:t>5</w:t>
      </w:r>
      <w:r w:rsidR="009A2241" w:rsidRPr="009E440F">
        <w:rPr>
          <w:rFonts w:ascii="Times New Roman" w:hAnsi="Times New Roman" w:cs="Times New Roman"/>
          <w:b/>
          <w:sz w:val="24"/>
          <w:szCs w:val="24"/>
        </w:rPr>
        <w:t xml:space="preserve"> году, (тыс.руб.)</w:t>
      </w:r>
    </w:p>
    <w:p w:rsidR="00CC55F9" w:rsidRDefault="00EE5F8F" w:rsidP="00EE5F8F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E5F8F">
        <w:rPr>
          <w:rFonts w:ascii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 wp14:anchorId="3BCB71FC" wp14:editId="06E0A824">
            <wp:extent cx="5939942" cy="4264762"/>
            <wp:effectExtent l="57150" t="57150" r="41910" b="406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55F9" w:rsidRDefault="00CC55F9" w:rsidP="00CC55F9">
      <w:pPr>
        <w:rPr>
          <w:rFonts w:ascii="Times New Roman" w:hAnsi="Times New Roman" w:cs="Times New Roman"/>
          <w:sz w:val="13"/>
          <w:szCs w:val="13"/>
        </w:rPr>
      </w:pPr>
    </w:p>
    <w:p w:rsidR="00EE5F8F" w:rsidRDefault="00EE5F8F" w:rsidP="00CC55F9">
      <w:pPr>
        <w:tabs>
          <w:tab w:val="left" w:pos="3732"/>
        </w:tabs>
        <w:spacing w:after="0"/>
        <w:jc w:val="center"/>
        <w:rPr>
          <w:rFonts w:ascii="Times New Roman" w:hAnsi="Times New Roman" w:cs="Times New Roman"/>
        </w:rPr>
      </w:pPr>
    </w:p>
    <w:p w:rsidR="00F92B7D" w:rsidRPr="009E440F" w:rsidRDefault="00CC55F9" w:rsidP="009E440F">
      <w:pPr>
        <w:tabs>
          <w:tab w:val="left" w:pos="37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0F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программ </w:t>
      </w:r>
    </w:p>
    <w:p w:rsidR="00CC55F9" w:rsidRPr="009E440F" w:rsidRDefault="00962DBF" w:rsidP="009E440F">
      <w:pPr>
        <w:tabs>
          <w:tab w:val="left" w:pos="37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0F">
        <w:rPr>
          <w:rFonts w:ascii="Times New Roman" w:hAnsi="Times New Roman" w:cs="Times New Roman"/>
          <w:b/>
          <w:sz w:val="28"/>
          <w:szCs w:val="28"/>
        </w:rPr>
        <w:t>в 20</w:t>
      </w:r>
      <w:r w:rsidR="00941322">
        <w:rPr>
          <w:rFonts w:ascii="Times New Roman" w:hAnsi="Times New Roman" w:cs="Times New Roman"/>
          <w:b/>
          <w:sz w:val="28"/>
          <w:szCs w:val="28"/>
        </w:rPr>
        <w:t>2</w:t>
      </w:r>
      <w:r w:rsidR="006C20A5">
        <w:rPr>
          <w:rFonts w:ascii="Times New Roman" w:hAnsi="Times New Roman" w:cs="Times New Roman"/>
          <w:b/>
          <w:sz w:val="28"/>
          <w:szCs w:val="28"/>
        </w:rPr>
        <w:t>5</w:t>
      </w:r>
      <w:r w:rsidR="00CC55F9" w:rsidRPr="009E440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92B7D" w:rsidRPr="009E4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5F9" w:rsidRPr="009E440F">
        <w:rPr>
          <w:rFonts w:ascii="Times New Roman" w:hAnsi="Times New Roman" w:cs="Times New Roman"/>
          <w:b/>
          <w:sz w:val="28"/>
          <w:szCs w:val="28"/>
        </w:rPr>
        <w:t>(тыс. рублей)</w:t>
      </w:r>
    </w:p>
    <w:p w:rsidR="00CC55F9" w:rsidRPr="00CC55F9" w:rsidRDefault="00B222B2" w:rsidP="00545EB6">
      <w:pPr>
        <w:tabs>
          <w:tab w:val="left" w:pos="645"/>
          <w:tab w:val="left" w:pos="3732"/>
        </w:tabs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ab/>
      </w:r>
      <w:r w:rsidRPr="00B222B2">
        <w:rPr>
          <w:rFonts w:ascii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 wp14:anchorId="5DD0E06A" wp14:editId="313E2929">
            <wp:extent cx="6210605" cy="3518611"/>
            <wp:effectExtent l="0" t="0" r="19050" b="247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13"/>
          <w:szCs w:val="13"/>
        </w:rPr>
        <w:tab/>
      </w:r>
    </w:p>
    <w:sectPr w:rsidR="00CC55F9" w:rsidRPr="00CC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8F"/>
    <w:rsid w:val="0002595C"/>
    <w:rsid w:val="00041FC0"/>
    <w:rsid w:val="0008082C"/>
    <w:rsid w:val="000D2D80"/>
    <w:rsid w:val="001708E2"/>
    <w:rsid w:val="00190A98"/>
    <w:rsid w:val="001B3F9C"/>
    <w:rsid w:val="001D185D"/>
    <w:rsid w:val="00234F23"/>
    <w:rsid w:val="002557DB"/>
    <w:rsid w:val="002A7051"/>
    <w:rsid w:val="002B7344"/>
    <w:rsid w:val="002C0995"/>
    <w:rsid w:val="00325F5F"/>
    <w:rsid w:val="0035028F"/>
    <w:rsid w:val="003B727F"/>
    <w:rsid w:val="003C5419"/>
    <w:rsid w:val="003E11FD"/>
    <w:rsid w:val="003F7297"/>
    <w:rsid w:val="00465314"/>
    <w:rsid w:val="00485A2A"/>
    <w:rsid w:val="00495330"/>
    <w:rsid w:val="004B0F4B"/>
    <w:rsid w:val="004C6505"/>
    <w:rsid w:val="00502E3B"/>
    <w:rsid w:val="0051104E"/>
    <w:rsid w:val="005172BB"/>
    <w:rsid w:val="00523B5F"/>
    <w:rsid w:val="00544658"/>
    <w:rsid w:val="00545EB6"/>
    <w:rsid w:val="005C1AD6"/>
    <w:rsid w:val="005C7F76"/>
    <w:rsid w:val="005F0CD4"/>
    <w:rsid w:val="0060322A"/>
    <w:rsid w:val="006314AF"/>
    <w:rsid w:val="00680D8B"/>
    <w:rsid w:val="006C20A5"/>
    <w:rsid w:val="006D5403"/>
    <w:rsid w:val="00725548"/>
    <w:rsid w:val="00740E86"/>
    <w:rsid w:val="00747151"/>
    <w:rsid w:val="007571CE"/>
    <w:rsid w:val="00762823"/>
    <w:rsid w:val="00776E66"/>
    <w:rsid w:val="00781C81"/>
    <w:rsid w:val="00786DB1"/>
    <w:rsid w:val="007922BF"/>
    <w:rsid w:val="00800B96"/>
    <w:rsid w:val="008B34EF"/>
    <w:rsid w:val="008C73A5"/>
    <w:rsid w:val="008D0475"/>
    <w:rsid w:val="00901B0A"/>
    <w:rsid w:val="00941322"/>
    <w:rsid w:val="00962DBF"/>
    <w:rsid w:val="00964E5F"/>
    <w:rsid w:val="00987191"/>
    <w:rsid w:val="009910AB"/>
    <w:rsid w:val="00991E9B"/>
    <w:rsid w:val="009A2241"/>
    <w:rsid w:val="009E440F"/>
    <w:rsid w:val="00A01459"/>
    <w:rsid w:val="00A32635"/>
    <w:rsid w:val="00A567B3"/>
    <w:rsid w:val="00A63F5D"/>
    <w:rsid w:val="00AC52BE"/>
    <w:rsid w:val="00AE4E2A"/>
    <w:rsid w:val="00B10539"/>
    <w:rsid w:val="00B222B2"/>
    <w:rsid w:val="00BB2B53"/>
    <w:rsid w:val="00BB2E5F"/>
    <w:rsid w:val="00C43969"/>
    <w:rsid w:val="00C50DB2"/>
    <w:rsid w:val="00CC55F9"/>
    <w:rsid w:val="00D23ABF"/>
    <w:rsid w:val="00D46E71"/>
    <w:rsid w:val="00D60519"/>
    <w:rsid w:val="00DA5BBE"/>
    <w:rsid w:val="00DE6F85"/>
    <w:rsid w:val="00E455D1"/>
    <w:rsid w:val="00E45FE2"/>
    <w:rsid w:val="00E65B20"/>
    <w:rsid w:val="00EE0CB6"/>
    <w:rsid w:val="00EE51DB"/>
    <w:rsid w:val="00EE5F8F"/>
    <w:rsid w:val="00EF51BA"/>
    <w:rsid w:val="00F0061A"/>
    <w:rsid w:val="00F26C62"/>
    <w:rsid w:val="00F50FDD"/>
    <w:rsid w:val="00F92B7D"/>
    <w:rsid w:val="00FA035D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C3FA6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C3FA6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1.981862370113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517662447130683E-3"/>
                  <c:y val="7.9274470062651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389809563947915E-2"/>
                  <c:y val="-6.341959584364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955298734139204E-2"/>
                  <c:y val="-4.3600972142505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585489401253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2022 год (решение)</c:v>
                </c:pt>
                <c:pt idx="1">
                  <c:v>2023 год (решение)</c:v>
                </c:pt>
                <c:pt idx="2">
                  <c:v>2024 год (решение)</c:v>
                </c:pt>
                <c:pt idx="3">
                  <c:v>2025 год (решение)</c:v>
                </c:pt>
                <c:pt idx="4">
                  <c:v>2026 год (решение)</c:v>
                </c:pt>
                <c:pt idx="5">
                  <c:v>2027 год (решение)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1824.7</c:v>
                </c:pt>
                <c:pt idx="1">
                  <c:v>2009.6</c:v>
                </c:pt>
                <c:pt idx="2">
                  <c:v>2398.6</c:v>
                </c:pt>
                <c:pt idx="3">
                  <c:v>2143.5</c:v>
                </c:pt>
                <c:pt idx="4">
                  <c:v>2095.8000000000002</c:v>
                </c:pt>
                <c:pt idx="5">
                  <c:v>2113.3000000000002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40740740740741E-2"/>
                  <c:y val="2.780956361195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552E-2"/>
                  <c:y val="4.370074281878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814814814814811E-2"/>
                  <c:y val="4.767353762048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7173909248040227E-2"/>
                  <c:y val="1.5891308928306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345108298087119E-2"/>
                  <c:y val="1.1891170509397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09968745428001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2022 год (решение)</c:v>
                </c:pt>
                <c:pt idx="1">
                  <c:v>2023 год (решение)</c:v>
                </c:pt>
                <c:pt idx="2">
                  <c:v>2024 год (решение)</c:v>
                </c:pt>
                <c:pt idx="3">
                  <c:v>2025 год (решение)</c:v>
                </c:pt>
                <c:pt idx="4">
                  <c:v>2026 год (решение)</c:v>
                </c:pt>
                <c:pt idx="5">
                  <c:v>2027 год (решение)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1824.8</c:v>
                </c:pt>
                <c:pt idx="1">
                  <c:v>2021.4</c:v>
                </c:pt>
                <c:pt idx="2">
                  <c:v>2401.4</c:v>
                </c:pt>
                <c:pt idx="3">
                  <c:v>2143.5</c:v>
                </c:pt>
                <c:pt idx="4">
                  <c:v>2095.8000000000002</c:v>
                </c:pt>
                <c:pt idx="5">
                  <c:v>2113.3000000000002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25839510513805E-2"/>
                  <c:y val="6.758304624947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738043319234807E-2"/>
                  <c:y val="7.1347023056386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172554149043559E-2"/>
                  <c:y val="6.7383923761679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869021659617506E-3"/>
                  <c:y val="1.585489401253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345108298087122E-3"/>
                  <c:y val="1.585489401253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2022 год (решение)</c:v>
                </c:pt>
                <c:pt idx="1">
                  <c:v>2023 год (решение)</c:v>
                </c:pt>
                <c:pt idx="2">
                  <c:v>2024 год (решение)</c:v>
                </c:pt>
                <c:pt idx="3">
                  <c:v>2025 год (решение)</c:v>
                </c:pt>
                <c:pt idx="4">
                  <c:v>2026 год (решение)</c:v>
                </c:pt>
                <c:pt idx="5">
                  <c:v>2027 год (решение)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-9.9999999999909051E-2</c:v>
                </c:pt>
                <c:pt idx="1">
                  <c:v>-11.800000000000182</c:v>
                </c:pt>
                <c:pt idx="2">
                  <c:v>-2.8000000000001819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951680"/>
        <c:axId val="240953216"/>
      </c:barChart>
      <c:catAx>
        <c:axId val="24095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0953216"/>
        <c:crosses val="autoZero"/>
        <c:auto val="1"/>
        <c:lblAlgn val="ctr"/>
        <c:lblOffset val="100"/>
        <c:noMultiLvlLbl val="0"/>
      </c:catAx>
      <c:valAx>
        <c:axId val="240953216"/>
        <c:scaling>
          <c:orientation val="minMax"/>
        </c:scaling>
        <c:delete val="0"/>
        <c:axPos val="l"/>
        <c:majorGridlines/>
        <c:minorGridlines/>
        <c:numFmt formatCode="#,##0.0" sourceLinked="0"/>
        <c:majorTickMark val="in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24095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87966446459996"/>
          <c:y val="0.38665615757396032"/>
          <c:w val="0.14212039736718055"/>
          <c:h val="0.214825312346363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6578089496905208E-2"/>
          <c:w val="0.63645580913823507"/>
          <c:h val="0.884388781090139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 год</c:v>
                </c:pt>
              </c:strCache>
            </c:strRef>
          </c:tx>
          <c:explosion val="29"/>
          <c:dPt>
            <c:idx val="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1"/>
            <c:bubble3D val="0"/>
            <c:explosion val="13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99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3"/>
              <c:layout>
                <c:manualLayout>
                  <c:x val="-2.2200907020678484E-3"/>
                  <c:y val="-4.8417446619628948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32054421240709E-2"/>
                  <c:y val="-3.4583890442592105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txPr>
              <a:bodyPr rot="0"/>
              <a:lstStyle/>
              <a:p>
                <a:pPr>
                  <a:defRPr b="1" i="1"/>
                </a:pPr>
                <a:endParaRPr lang="ru-RU"/>
              </a:p>
            </c:tx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прибыль</c:v>
                </c:pt>
                <c:pt idx="1">
                  <c:v>Налог на доходы физических лиц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42507.6</c:v>
                </c:pt>
                <c:pt idx="1">
                  <c:v>259036.7</c:v>
                </c:pt>
                <c:pt idx="2">
                  <c:v>48688.3</c:v>
                </c:pt>
                <c:pt idx="3">
                  <c:v>7327.3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ln>
          <a:gradFill>
            <a:gsLst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25400" cap="flat" cmpd="sng" algn="ctr">
      <a:solidFill>
        <a:srgbClr val="C0504D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338854039560496E-2"/>
          <c:y val="8.6578089496905208E-2"/>
          <c:w val="0.60438732764520098"/>
          <c:h val="0.838525361717800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2025 год</c:v>
                </c:pt>
              </c:strCache>
            </c:strRef>
          </c:tx>
          <c:explosion val="29"/>
          <c:dPt>
            <c:idx val="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1"/>
            <c:bubble3D val="0"/>
            <c:explosion val="13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99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0547190528123002"/>
                  <c:y val="9.5504792931260185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303555489262353E-2"/>
                  <c:y val="1.499436311426202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643823794912477E-2"/>
                  <c:y val="-2.94778791694357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7282754612755475E-2"/>
                  <c:y val="3.1704908825740764E-4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834408688483724E-2"/>
                  <c:y val="-9.1102891155168449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 rot="0"/>
              <a:lstStyle/>
              <a:p>
                <a:pPr>
                  <a:defRPr sz="1050" b="1"/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38507.199999999997</c:v>
                </c:pt>
                <c:pt idx="1">
                  <c:v>7644.3</c:v>
                </c:pt>
                <c:pt idx="2">
                  <c:v>150</c:v>
                </c:pt>
                <c:pt idx="3">
                  <c:v>240</c:v>
                </c:pt>
                <c:pt idx="4">
                  <c:v>1716.8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711132397099"/>
          <c:y val="5.4488237988777499E-2"/>
          <c:w val="0.33492462088712832"/>
          <c:h val="0.80848037432674913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25400" cap="flat" cmpd="sng" algn="ctr">
      <a:solidFill>
        <a:srgbClr val="C0504D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50"/>
      <c:depthPercent val="15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</c:formatCode>
                <c:ptCount val="1"/>
                <c:pt idx="0">
                  <c:v>123387.476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оборона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</c:formatCode>
                <c:ptCount val="1"/>
                <c:pt idx="0">
                  <c:v>3998.3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spPr>
            <a:solidFill>
              <a:srgbClr val="010C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</c:formatCode>
                <c:ptCount val="1"/>
                <c:pt idx="0">
                  <c:v>5320.366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</c:formatCode>
                <c:ptCount val="1"/>
                <c:pt idx="0">
                  <c:v>53444.85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0.0</c:formatCode>
                <c:ptCount val="1"/>
                <c:pt idx="0">
                  <c:v>104431.412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Охрана окружающей среды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0.0</c:formatCode>
                <c:ptCount val="1"/>
                <c:pt idx="0">
                  <c:v>10166.620000000001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0.0</c:formatCode>
                <c:ptCount val="1"/>
                <c:pt idx="0">
                  <c:v>1150163.5719999999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Культура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0.0</c:formatCode>
                <c:ptCount val="1"/>
                <c:pt idx="0">
                  <c:v>246616.83300000001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Социальная политика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0.0</c:formatCode>
                <c:ptCount val="1"/>
                <c:pt idx="0">
                  <c:v>89851.957999999999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0.0</c:formatCode>
                <c:ptCount val="1"/>
                <c:pt idx="0">
                  <c:v>64929.557999999997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0.0</c:formatCode>
                <c:ptCount val="1"/>
                <c:pt idx="0">
                  <c:v>291212.386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3959680"/>
        <c:axId val="243961216"/>
        <c:axId val="0"/>
      </c:bar3DChart>
      <c:catAx>
        <c:axId val="24395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961216"/>
        <c:crosses val="autoZero"/>
        <c:auto val="1"/>
        <c:lblAlgn val="ctr"/>
        <c:lblOffset val="100"/>
        <c:noMultiLvlLbl val="0"/>
      </c:catAx>
      <c:valAx>
        <c:axId val="2439612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4395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67326454302259"/>
          <c:y val="1.483213035870516E-2"/>
          <c:w val="0.29432677962175391"/>
          <c:h val="0.8298823779339569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25400" cap="flat" cmpd="sng" algn="ctr">
      <a:solidFill>
        <a:srgbClr val="C0504D"/>
      </a:solidFill>
      <a:prstDash val="solid"/>
    </a:ln>
    <a:effectLst/>
    <a:scene3d>
      <a:camera prst="orthographicFront"/>
      <a:lightRig rig="threePt" dir="t"/>
    </a:scene3d>
    <a:sp3d>
      <a:bevelT w="0" h="82550"/>
    </a:sp3d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72378869391158"/>
          <c:y val="2.7224984261008035E-2"/>
          <c:w val="0.48132788998710785"/>
          <c:h val="0.864604811387220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solidFill>
                <a:srgbClr val="FFFF00"/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Развитие образования</c:v>
                </c:pt>
                <c:pt idx="1">
                  <c:v>Управление муниципальными финансами</c:v>
                </c:pt>
                <c:pt idx="2">
                  <c:v>Развитие культуры</c:v>
                </c:pt>
                <c:pt idx="3">
                  <c:v>Реформирование и модернизация ЖКХ и повышение энергетической эффективности</c:v>
                </c:pt>
                <c:pt idx="4">
                  <c:v>Развитие транспортной системы</c:v>
                </c:pt>
                <c:pt idx="5">
                  <c:v>Развитие физической культуры, спорта и туризма</c:v>
                </c:pt>
                <c:pt idx="6">
                  <c:v>Молодежь Рыбинского района в XXI веке</c:v>
                </c:pt>
                <c:pt idx="7">
                  <c:v>Защита от ЧС природного и техногенного характера и обеспечение безопасности населения</c:v>
                </c:pt>
                <c:pt idx="8">
                  <c:v>Развитие сельского хозяйства и регулирование рынков с/х продукции, сырья и продовольствия</c:v>
                </c:pt>
                <c:pt idx="9">
                  <c:v>Обеспечение доступным и комфортным жильем </c:v>
                </c:pt>
                <c:pt idx="10">
                  <c:v>Охрана окружающей среды</c:v>
                </c:pt>
                <c:pt idx="11">
                  <c:v>Развитие инвестиционной деятельности, малого и среднего предпринимательства</c:v>
                </c:pt>
                <c:pt idx="12">
                  <c:v>Развитие местного самоуправления</c:v>
                </c:pt>
              </c:strCache>
            </c:strRef>
          </c:cat>
          <c:val>
            <c:numRef>
              <c:f>Лист1!$B$2:$B$14</c:f>
              <c:numCache>
                <c:formatCode>#,##0.0</c:formatCode>
                <c:ptCount val="13"/>
                <c:pt idx="0">
                  <c:v>1200866.4650000001</c:v>
                </c:pt>
                <c:pt idx="1">
                  <c:v>307389.99200000003</c:v>
                </c:pt>
                <c:pt idx="2">
                  <c:v>265582.28999999998</c:v>
                </c:pt>
                <c:pt idx="3">
                  <c:v>103931.412</c:v>
                </c:pt>
                <c:pt idx="4">
                  <c:v>46951.75</c:v>
                </c:pt>
                <c:pt idx="5">
                  <c:v>64929.557999999997</c:v>
                </c:pt>
                <c:pt idx="6">
                  <c:v>7284.9650000000001</c:v>
                </c:pt>
                <c:pt idx="7">
                  <c:v>5319.866</c:v>
                </c:pt>
                <c:pt idx="8">
                  <c:v>5188.3999999999996</c:v>
                </c:pt>
                <c:pt idx="9">
                  <c:v>4470</c:v>
                </c:pt>
                <c:pt idx="10">
                  <c:v>10766.62</c:v>
                </c:pt>
                <c:pt idx="11">
                  <c:v>330</c:v>
                </c:pt>
                <c:pt idx="12">
                  <c:v>7874.7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3976448"/>
        <c:axId val="243979392"/>
      </c:barChart>
      <c:catAx>
        <c:axId val="2439764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650" b="1"/>
            </a:pPr>
            <a:endParaRPr lang="ru-RU"/>
          </a:p>
        </c:txPr>
        <c:crossAx val="243979392"/>
        <c:crosses val="autoZero"/>
        <c:auto val="1"/>
        <c:lblAlgn val="r"/>
        <c:lblOffset val="100"/>
        <c:noMultiLvlLbl val="0"/>
      </c:catAx>
      <c:valAx>
        <c:axId val="243979392"/>
        <c:scaling>
          <c:orientation val="minMax"/>
        </c:scaling>
        <c:delete val="0"/>
        <c:axPos val="b"/>
        <c:majorGridlines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43976448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word/theme/themeOverride3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91D0-E77E-45D2-9C26-8F51DF59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Оксана Миклина</cp:lastModifiedBy>
  <cp:revision>28</cp:revision>
  <dcterms:created xsi:type="dcterms:W3CDTF">2020-11-16T06:21:00Z</dcterms:created>
  <dcterms:modified xsi:type="dcterms:W3CDTF">2024-12-30T08:10:00Z</dcterms:modified>
</cp:coreProperties>
</file>